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34" w:rsidRDefault="00C02434">
      <w:pPr>
        <w:spacing w:line="520" w:lineRule="exact"/>
        <w:rPr>
          <w:rFonts w:ascii="Cambria" w:hAnsi="Cambria" w:cs="Cambria" w:hint="eastAsia"/>
          <w:sz w:val="24"/>
        </w:rPr>
      </w:pPr>
    </w:p>
    <w:tbl>
      <w:tblPr>
        <w:tblpPr w:leftFromText="180" w:rightFromText="180" w:vertAnchor="text" w:horzAnchor="page" w:tblpX="2121" w:tblpY="1041"/>
        <w:tblOverlap w:val="never"/>
        <w:tblW w:w="51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5277"/>
      </w:tblGrid>
      <w:tr w:rsidR="00C02434">
        <w:trPr>
          <w:trHeight w:val="441"/>
          <w:tblHeader/>
        </w:trPr>
        <w:tc>
          <w:tcPr>
            <w:tcW w:w="1904" w:type="pct"/>
            <w:vAlign w:val="center"/>
          </w:tcPr>
          <w:p w:rsidR="00C02434" w:rsidRDefault="009D646D">
            <w:pPr>
              <w:adjustRightInd w:val="0"/>
              <w:snapToGrid w:val="0"/>
              <w:jc w:val="center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/>
                <w:color w:val="000000" w:themeColor="text1"/>
                <w:szCs w:val="21"/>
              </w:rPr>
              <w:t>TOPICS</w:t>
            </w:r>
          </w:p>
        </w:tc>
        <w:tc>
          <w:tcPr>
            <w:tcW w:w="3095" w:type="pct"/>
            <w:vAlign w:val="center"/>
          </w:tcPr>
          <w:p w:rsidR="00C02434" w:rsidRDefault="009D646D">
            <w:pPr>
              <w:adjustRightInd w:val="0"/>
              <w:snapToGrid w:val="0"/>
              <w:jc w:val="center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/>
                <w:color w:val="000000" w:themeColor="text1"/>
                <w:szCs w:val="21"/>
              </w:rPr>
              <w:t>OBJECTIVES</w:t>
            </w:r>
          </w:p>
        </w:tc>
      </w:tr>
      <w:tr w:rsidR="00C02434">
        <w:trPr>
          <w:trHeight w:val="854"/>
        </w:trPr>
        <w:tc>
          <w:tcPr>
            <w:tcW w:w="1904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>S1</w:t>
            </w: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 xml:space="preserve">: 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BASP Development Policy </w:t>
            </w:r>
          </w:p>
        </w:tc>
        <w:tc>
          <w:tcPr>
            <w:tcW w:w="3095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F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ocus on the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BASP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 related policies, to explore the difficulties and problems faced by the policy proposal, development and implementation, to promote the construction of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 the 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industrial development policy system, to provide suggestions for the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sound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 development of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BASP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.</w:t>
            </w:r>
          </w:p>
        </w:tc>
      </w:tr>
      <w:tr w:rsidR="00C02434">
        <w:trPr>
          <w:trHeight w:val="1504"/>
        </w:trPr>
        <w:tc>
          <w:tcPr>
            <w:tcW w:w="1904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>S2</w:t>
            </w: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>: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Resources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Cultivation and Supply</w:t>
            </w:r>
          </w:p>
        </w:tc>
        <w:tc>
          <w:tcPr>
            <w:tcW w:w="3095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F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ocus on the selection and breeding of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bamboo germplasm for plastic substitute, efficient cultivation of bamboo resources, harvesting and equipment, and primary processing products. </w:t>
            </w:r>
          </w:p>
        </w:tc>
      </w:tr>
      <w:tr w:rsidR="00C02434">
        <w:trPr>
          <w:trHeight w:val="1459"/>
        </w:trPr>
        <w:tc>
          <w:tcPr>
            <w:tcW w:w="1904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>S3</w:t>
            </w:r>
            <w:r>
              <w:rPr>
                <w:rFonts w:ascii="Cambria" w:eastAsia="宋体" w:hAnsi="Cambria" w:cs="Cambria" w:hint="eastAsia"/>
                <w:color w:val="000000" w:themeColor="text1"/>
                <w:szCs w:val="21"/>
              </w:rPr>
              <w:t>: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BASP Products Research and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Development</w:t>
            </w:r>
          </w:p>
        </w:tc>
        <w:tc>
          <w:tcPr>
            <w:tcW w:w="3095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F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ocus on the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development and innovation of </w:t>
            </w:r>
            <w:proofErr w:type="gramStart"/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bamboo  products</w:t>
            </w:r>
            <w:proofErr w:type="gramEnd"/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, and jointly promote the global green and low-carbon development. It will discuss in-depth the opportunities, challenges and future direction of development in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BASP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>.</w:t>
            </w:r>
          </w:p>
        </w:tc>
      </w:tr>
      <w:tr w:rsidR="00C02434">
        <w:trPr>
          <w:trHeight w:val="1634"/>
        </w:trPr>
        <w:tc>
          <w:tcPr>
            <w:tcW w:w="1904" w:type="pct"/>
            <w:vAlign w:val="center"/>
          </w:tcPr>
          <w:p w:rsidR="00C02434" w:rsidRDefault="009D646D">
            <w:pPr>
              <w:adjustRightInd w:val="0"/>
              <w:snapToGrid w:val="0"/>
              <w:jc w:val="left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/>
                <w:color w:val="000000" w:themeColor="text1"/>
                <w:szCs w:val="21"/>
              </w:rPr>
              <w:t>S4</w:t>
            </w:r>
            <w:r>
              <w:rPr>
                <w:rFonts w:ascii="Cambria" w:eastAsia="宋体" w:hAnsi="Cambria" w:cs="Cambria" w:hint="eastAsia"/>
                <w:color w:val="000000" w:themeColor="text1"/>
                <w:szCs w:val="21"/>
              </w:rPr>
              <w:t>: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 xml:space="preserve">BASP Products </w:t>
            </w: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and Marketing</w:t>
            </w:r>
          </w:p>
        </w:tc>
        <w:tc>
          <w:tcPr>
            <w:tcW w:w="3095" w:type="pct"/>
            <w:vAlign w:val="center"/>
          </w:tcPr>
          <w:p w:rsidR="00C02434" w:rsidRDefault="009D646D">
            <w:pPr>
              <w:adjustRightInd w:val="0"/>
              <w:snapToGrid w:val="0"/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</w:pPr>
            <w:r>
              <w:rPr>
                <w:rFonts w:ascii="Cambria" w:eastAsia="宋体" w:hAnsi="Cambria" w:cs="Cambria" w:hint="eastAsia"/>
                <w:bCs/>
                <w:color w:val="000000" w:themeColor="text1"/>
                <w:szCs w:val="21"/>
              </w:rPr>
              <w:t>F</w:t>
            </w:r>
            <w:r>
              <w:rPr>
                <w:rFonts w:ascii="Cambria" w:eastAsia="宋体" w:hAnsi="Cambria" w:cs="Cambria"/>
                <w:bCs/>
                <w:color w:val="000000" w:themeColor="text1"/>
                <w:szCs w:val="21"/>
              </w:rPr>
              <w:t xml:space="preserve">ocus on the market to explore and promote the innovative technology of replacing plastics with bamboo as a material to promote sustainable development. </w:t>
            </w:r>
          </w:p>
        </w:tc>
      </w:tr>
    </w:tbl>
    <w:p w:rsidR="00C02434" w:rsidRDefault="009D646D">
      <w:pPr>
        <w:spacing w:line="520" w:lineRule="exact"/>
        <w:rPr>
          <w:rFonts w:ascii="Cambria" w:hAnsi="Cambria" w:cs="Cambria"/>
          <w:b/>
          <w:bCs/>
          <w:sz w:val="24"/>
        </w:rPr>
      </w:pPr>
      <w:r>
        <w:rPr>
          <w:rFonts w:ascii="Cambria" w:hAnsi="Cambria" w:cs="Cambria" w:hint="eastAsia"/>
          <w:b/>
          <w:bCs/>
          <w:sz w:val="24"/>
        </w:rPr>
        <w:t xml:space="preserve">Annex </w:t>
      </w:r>
      <w:proofErr w:type="gramStart"/>
      <w:r>
        <w:rPr>
          <w:rFonts w:ascii="Cambria" w:hAnsi="Cambria" w:cs="Cambria" w:hint="eastAsia"/>
          <w:b/>
          <w:bCs/>
          <w:sz w:val="24"/>
        </w:rPr>
        <w:t>I</w:t>
      </w:r>
      <w:proofErr w:type="gramEnd"/>
      <w:r>
        <w:rPr>
          <w:rFonts w:ascii="Cambria" w:hAnsi="Cambria" w:cs="Cambria" w:hint="eastAsia"/>
          <w:b/>
          <w:bCs/>
          <w:sz w:val="24"/>
        </w:rPr>
        <w:t>:</w:t>
      </w: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</w:p>
    <w:p w:rsidR="00C02434" w:rsidRDefault="00C02434">
      <w:pPr>
        <w:spacing w:line="520" w:lineRule="exact"/>
        <w:rPr>
          <w:rFonts w:ascii="Cambria" w:hAnsi="Cambria" w:cs="Cambria"/>
          <w:b/>
          <w:bCs/>
          <w:sz w:val="24"/>
        </w:rPr>
      </w:pPr>
      <w:bookmarkStart w:id="0" w:name="_GoBack"/>
      <w:bookmarkEnd w:id="0"/>
    </w:p>
    <w:sectPr w:rsidR="00C0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Y2E5NGZlNTZkNDZiODEzYmFiY2JhM2Y2ODA5NDQifQ=="/>
  </w:docVars>
  <w:rsids>
    <w:rsidRoot w:val="529A74B5"/>
    <w:rsid w:val="00146B5D"/>
    <w:rsid w:val="001B50D1"/>
    <w:rsid w:val="00703AF0"/>
    <w:rsid w:val="00905321"/>
    <w:rsid w:val="009D646D"/>
    <w:rsid w:val="00A61B6C"/>
    <w:rsid w:val="00AE04E0"/>
    <w:rsid w:val="00B53313"/>
    <w:rsid w:val="00C02434"/>
    <w:rsid w:val="00C9482A"/>
    <w:rsid w:val="00D43A41"/>
    <w:rsid w:val="00E90BE6"/>
    <w:rsid w:val="0ED87C76"/>
    <w:rsid w:val="204E620E"/>
    <w:rsid w:val="34191397"/>
    <w:rsid w:val="529A74B5"/>
    <w:rsid w:val="5BB9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67FA9"/>
  <w15:docId w15:val="{AAC52923-B4E5-4109-BEFA-4991B01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xt256.com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肖小军</dc:creator>
  <cp:lastModifiedBy>xt256.com</cp:lastModifiedBy>
  <cp:revision>2</cp:revision>
  <dcterms:created xsi:type="dcterms:W3CDTF">2023-09-19T02:52:00Z</dcterms:created>
  <dcterms:modified xsi:type="dcterms:W3CDTF">2023-09-19T02:52:00Z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B46638C25FDA4D31A995B9376113A7FD_11</vt:lpwstr>
  </property>
</Properties>
</file>